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91"/>
        <w:tblW w:w="10656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5328"/>
        <w:gridCol w:w="5328"/>
      </w:tblGrid>
      <w:tr w:rsidR="00057277" w14:paraId="195592BD" w14:textId="77777777" w:rsidTr="00057277">
        <w:trPr>
          <w:trHeight w:hRule="exact" w:val="360"/>
        </w:trPr>
        <w:tc>
          <w:tcPr>
            <w:tcW w:w="5328" w:type="dxa"/>
            <w:tcBorders>
              <w:left w:val="nil"/>
              <w:right w:val="nil"/>
            </w:tcBorders>
            <w:vAlign w:val="bottom"/>
          </w:tcPr>
          <w:p w14:paraId="090F85F4" w14:textId="77777777" w:rsidR="00057277" w:rsidRDefault="00057277" w:rsidP="00057277">
            <w:pPr>
              <w:pStyle w:val="PIHeader"/>
            </w:pPr>
            <w:r>
              <w:rPr>
                <w:b/>
                <w:bCs/>
              </w:rPr>
              <w:br w:type="page"/>
            </w:r>
            <w:r>
              <w:t>Program Director/Principal Investigator (Last, First, Middle):</w:t>
            </w:r>
          </w:p>
        </w:tc>
        <w:tc>
          <w:tcPr>
            <w:tcW w:w="5328" w:type="dxa"/>
            <w:tcBorders>
              <w:left w:val="nil"/>
              <w:right w:val="nil"/>
            </w:tcBorders>
            <w:vAlign w:val="center"/>
          </w:tcPr>
          <w:p w14:paraId="33929471" w14:textId="77777777" w:rsidR="00057277" w:rsidRDefault="00057277" w:rsidP="000572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7277" w14:paraId="0E94C35D" w14:textId="77777777" w:rsidTr="00057277">
        <w:trPr>
          <w:cantSplit/>
          <w:trHeight w:hRule="exact" w:val="86"/>
        </w:trPr>
        <w:tc>
          <w:tcPr>
            <w:tcW w:w="10656" w:type="dxa"/>
            <w:gridSpan w:val="2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02EB0E6B" w14:textId="77777777" w:rsidR="00057277" w:rsidRDefault="00057277" w:rsidP="00057277">
            <w:pPr>
              <w:pStyle w:val="DataField11pt"/>
            </w:pPr>
          </w:p>
        </w:tc>
      </w:tr>
      <w:tr w:rsidR="00057277" w14:paraId="2E5DC6A0" w14:textId="77777777" w:rsidTr="00057277">
        <w:trPr>
          <w:trHeight w:hRule="exact" w:val="346"/>
        </w:trPr>
        <w:tc>
          <w:tcPr>
            <w:tcW w:w="106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C178BDE" w14:textId="77777777" w:rsidR="00057277" w:rsidRDefault="00057277" w:rsidP="00057277">
            <w:pPr>
              <w:pStyle w:val="Heading1"/>
            </w:pPr>
            <w:r>
              <w:t>RESOURCES</w:t>
            </w:r>
          </w:p>
        </w:tc>
      </w:tr>
      <w:tr w:rsidR="00057277" w14:paraId="48DE92FE" w14:textId="77777777" w:rsidTr="00057277">
        <w:trPr>
          <w:trHeight w:hRule="exact" w:val="362"/>
        </w:trPr>
        <w:tc>
          <w:tcPr>
            <w:tcW w:w="10656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5E99AF15" w14:textId="77777777" w:rsidR="00057277" w:rsidRDefault="00057277" w:rsidP="00057277">
            <w:pPr>
              <w:pStyle w:val="FormFieldCaption"/>
              <w:rPr>
                <w:b/>
                <w:bCs/>
                <w:sz w:val="20"/>
                <w:szCs w:val="20"/>
              </w:rPr>
            </w:pPr>
            <w:r>
              <w:t>Follow the 398 application instructions in Part I, 4.7 Resources.</w:t>
            </w:r>
          </w:p>
        </w:tc>
      </w:tr>
      <w:tr w:rsidR="00057277" w14:paraId="022D0A55" w14:textId="77777777" w:rsidTr="00057277">
        <w:trPr>
          <w:trHeight w:val="12772"/>
        </w:trPr>
        <w:tc>
          <w:tcPr>
            <w:tcW w:w="10656" w:type="dxa"/>
            <w:gridSpan w:val="2"/>
            <w:tcBorders>
              <w:left w:val="nil"/>
              <w:right w:val="nil"/>
            </w:tcBorders>
          </w:tcPr>
          <w:p w14:paraId="7749138E" w14:textId="5D01DC7C" w:rsidR="00335AE4" w:rsidRPr="00B777EC" w:rsidRDefault="00335AE4" w:rsidP="00335AE4">
            <w:pPr>
              <w:pStyle w:val="DataField11pt"/>
              <w:spacing w:line="240" w:lineRule="auto"/>
              <w:rPr>
                <w:b/>
                <w:szCs w:val="22"/>
              </w:rPr>
            </w:pPr>
            <w:r w:rsidRPr="00B777EC">
              <w:rPr>
                <w:b/>
                <w:szCs w:val="22"/>
              </w:rPr>
              <w:t xml:space="preserve">Investigators preparing grant proposals or manuscripts that involve Flow Cytometry Shared Resource instruments or </w:t>
            </w:r>
            <w:r w:rsidR="00DB60CA" w:rsidRPr="00B777EC">
              <w:rPr>
                <w:b/>
                <w:szCs w:val="22"/>
              </w:rPr>
              <w:t xml:space="preserve">flow cytometry </w:t>
            </w:r>
            <w:r w:rsidRPr="00B777EC">
              <w:rPr>
                <w:b/>
                <w:szCs w:val="22"/>
              </w:rPr>
              <w:t xml:space="preserve">data </w:t>
            </w:r>
            <w:r w:rsidR="00DB60CA" w:rsidRPr="00B777EC">
              <w:rPr>
                <w:b/>
                <w:szCs w:val="22"/>
              </w:rPr>
              <w:t>support</w:t>
            </w:r>
            <w:r w:rsidRPr="00B777EC">
              <w:rPr>
                <w:b/>
                <w:szCs w:val="22"/>
              </w:rPr>
              <w:t xml:space="preserve"> are encouraged to contact Yue Li, Ph.D. (FCSR Director) for a consultation, letter of support </w:t>
            </w:r>
            <w:r w:rsidR="00DB60CA" w:rsidRPr="00B777EC">
              <w:rPr>
                <w:b/>
                <w:szCs w:val="22"/>
              </w:rPr>
              <w:t>and R</w:t>
            </w:r>
            <w:r w:rsidRPr="00B777EC">
              <w:rPr>
                <w:b/>
                <w:szCs w:val="22"/>
              </w:rPr>
              <w:t>esource</w:t>
            </w:r>
            <w:r w:rsidR="00DB60CA" w:rsidRPr="00B777EC">
              <w:rPr>
                <w:b/>
                <w:szCs w:val="22"/>
              </w:rPr>
              <w:t>s</w:t>
            </w:r>
            <w:r w:rsidRPr="00B777EC">
              <w:rPr>
                <w:b/>
                <w:szCs w:val="22"/>
              </w:rPr>
              <w:t xml:space="preserve"> section that is specifically tailored to the goals of the grant proposal.</w:t>
            </w:r>
          </w:p>
          <w:p w14:paraId="5675C2C8" w14:textId="77777777" w:rsidR="00335AE4" w:rsidRPr="00B777EC" w:rsidRDefault="00335AE4" w:rsidP="009F4AE8">
            <w:pPr>
              <w:pStyle w:val="DataField11pt"/>
              <w:spacing w:before="100" w:beforeAutospacing="1" w:after="100" w:afterAutospacing="1" w:line="240" w:lineRule="auto"/>
              <w:jc w:val="both"/>
              <w:rPr>
                <w:b/>
                <w:szCs w:val="22"/>
              </w:rPr>
            </w:pPr>
            <w:r w:rsidRPr="00B777EC">
              <w:rPr>
                <w:b/>
                <w:szCs w:val="22"/>
              </w:rPr>
              <w:t>UT Health San Antonio Flow Cytometry Shared Resource</w:t>
            </w:r>
          </w:p>
          <w:p w14:paraId="6E2ACE30" w14:textId="0274C8CA" w:rsidR="009F4AE8" w:rsidRPr="00B777EC" w:rsidRDefault="00335AE4" w:rsidP="009F4AE8">
            <w:pPr>
              <w:snapToGrid w:val="0"/>
              <w:spacing w:before="100" w:beforeAutospacing="1" w:after="100" w:afterAutospacing="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777EC">
              <w:rPr>
                <w:rFonts w:ascii="Arial" w:hAnsi="Arial" w:cs="Arial"/>
                <w:sz w:val="22"/>
                <w:szCs w:val="22"/>
              </w:rPr>
              <w:t xml:space="preserve">The UT Health San Antonio Flow Cytometry Shared Resource (FCSR) has been </w:t>
            </w:r>
            <w:r w:rsidR="00DB60CA"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a Cancer Center-supported Shared Resource since 1991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B60CA"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The mission of the FCSR is to deliver high-throughput, multi-dimensional </w:t>
            </w:r>
            <w:r w:rsidR="00557FD0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cell </w:t>
            </w:r>
            <w:r w:rsidR="00DB60CA"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analysis and cell sorting using state-of-the-art equipment for Mays Cancer Center (MCC) members, University of Texas Health San Antonio (UT Health SA) investigators, and others in the San Antonio area. </w:t>
            </w:r>
            <w:r w:rsidRPr="00B777EC">
              <w:rPr>
                <w:rFonts w:ascii="Arial" w:hAnsi="Arial" w:cs="Arial"/>
                <w:sz w:val="22"/>
                <w:szCs w:val="22"/>
              </w:rPr>
              <w:t>The main FCSR facility is centrally located in 8</w:t>
            </w:r>
            <w:r w:rsidR="00DB60CA" w:rsidRPr="00B777EC">
              <w:rPr>
                <w:rFonts w:ascii="Arial" w:hAnsi="Arial" w:cs="Arial"/>
                <w:sz w:val="22"/>
                <w:szCs w:val="22"/>
              </w:rPr>
              <w:t>63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 sq ft of dedicated space on the 5th floor of the Long School of Medicine </w:t>
            </w:r>
            <w:r w:rsidR="00DB60CA" w:rsidRPr="00B777EC">
              <w:rPr>
                <w:rFonts w:ascii="Arial" w:hAnsi="Arial" w:cs="Arial"/>
                <w:sz w:val="22"/>
                <w:szCs w:val="22"/>
              </w:rPr>
              <w:t>(r</w:t>
            </w:r>
            <w:r w:rsidR="0064300A" w:rsidRPr="00B777EC">
              <w:rPr>
                <w:rFonts w:ascii="Arial" w:hAnsi="Arial" w:cs="Arial"/>
                <w:sz w:val="22"/>
                <w:szCs w:val="22"/>
              </w:rPr>
              <w:t>oom</w:t>
            </w:r>
            <w:r w:rsidR="00DB60CA" w:rsidRPr="00B777EC">
              <w:rPr>
                <w:rFonts w:ascii="Arial" w:hAnsi="Arial" w:cs="Arial"/>
                <w:sz w:val="22"/>
                <w:szCs w:val="22"/>
              </w:rPr>
              <w:t xml:space="preserve"> 5.044V) 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on the main campus of UT Health San Antonio. A </w:t>
            </w:r>
            <w:r w:rsidR="00557FD0">
              <w:rPr>
                <w:rFonts w:ascii="Arial" w:hAnsi="Arial" w:cs="Arial"/>
                <w:sz w:val="22"/>
                <w:szCs w:val="22"/>
              </w:rPr>
              <w:t>satellite</w:t>
            </w:r>
            <w:r w:rsidR="00557FD0" w:rsidRPr="00B777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FCSR facility </w:t>
            </w:r>
            <w:r w:rsidR="0064300A" w:rsidRPr="00B777EC">
              <w:rPr>
                <w:rFonts w:ascii="Arial" w:hAnsi="Arial" w:cs="Arial"/>
                <w:sz w:val="22"/>
                <w:szCs w:val="22"/>
              </w:rPr>
              <w:t>occup</w:t>
            </w:r>
            <w:r w:rsidR="00557FD0">
              <w:rPr>
                <w:rFonts w:ascii="Arial" w:hAnsi="Arial" w:cs="Arial"/>
                <w:sz w:val="22"/>
                <w:szCs w:val="22"/>
              </w:rPr>
              <w:t>y</w:t>
            </w:r>
            <w:r w:rsidR="0064300A" w:rsidRPr="00B777EC">
              <w:rPr>
                <w:rFonts w:ascii="Arial" w:hAnsi="Arial" w:cs="Arial"/>
                <w:sz w:val="22"/>
                <w:szCs w:val="22"/>
              </w:rPr>
              <w:t>i</w:t>
            </w:r>
            <w:r w:rsidR="00557FD0">
              <w:rPr>
                <w:rFonts w:ascii="Arial" w:hAnsi="Arial" w:cs="Arial"/>
                <w:sz w:val="22"/>
                <w:szCs w:val="22"/>
              </w:rPr>
              <w:t>ng</w:t>
            </w:r>
            <w:r w:rsidR="0064300A" w:rsidRPr="00B777EC">
              <w:rPr>
                <w:rFonts w:ascii="Arial" w:hAnsi="Arial" w:cs="Arial"/>
                <w:sz w:val="22"/>
                <w:szCs w:val="22"/>
              </w:rPr>
              <w:t xml:space="preserve"> 650 sq. ft. in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 the South Texas Research Facility (STRF</w:t>
            </w:r>
            <w:r w:rsidR="0064300A" w:rsidRPr="00B777EC">
              <w:rPr>
                <w:rFonts w:ascii="Arial" w:hAnsi="Arial" w:cs="Arial"/>
                <w:sz w:val="22"/>
                <w:szCs w:val="22"/>
              </w:rPr>
              <w:t>, room 251)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7FD0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located </w:t>
            </w:r>
            <w:r w:rsidR="00CA3E1E">
              <w:rPr>
                <w:rFonts w:ascii="Arial" w:hAnsi="Arial" w:cs="Arial"/>
                <w:sz w:val="22"/>
                <w:szCs w:val="22"/>
              </w:rPr>
              <w:t>one</w:t>
            </w:r>
            <w:r w:rsidR="00557FD0">
              <w:rPr>
                <w:rFonts w:ascii="Arial" w:hAnsi="Arial" w:cs="Arial"/>
                <w:sz w:val="22"/>
                <w:szCs w:val="22"/>
              </w:rPr>
              <w:t xml:space="preserve"> mile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 from the main campus. The FCSR is administered through the Office of the Vice President for Research in coordination with the Assistant Director for Basic Research</w:t>
            </w:r>
            <w:r w:rsidRPr="00B777EC" w:rsidDel="009A59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of the </w:t>
            </w:r>
            <w:r w:rsidR="0064300A" w:rsidRPr="00B777EC">
              <w:rPr>
                <w:rFonts w:ascii="Arial" w:hAnsi="Arial" w:cs="Arial"/>
                <w:sz w:val="22"/>
                <w:szCs w:val="22"/>
              </w:rPr>
              <w:t>NCI-designated UT Health San Antonio MD Anderson-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Mays Cancer Center. The FCSR is overseen by a tenured faculty </w:t>
            </w:r>
            <w:r w:rsidR="0064300A" w:rsidRPr="00B777EC">
              <w:rPr>
                <w:rFonts w:ascii="Arial" w:hAnsi="Arial" w:cs="Arial"/>
                <w:sz w:val="22"/>
                <w:szCs w:val="22"/>
              </w:rPr>
              <w:t>S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cientific </w:t>
            </w:r>
            <w:r w:rsidR="0064300A" w:rsidRPr="00B777EC">
              <w:rPr>
                <w:rFonts w:ascii="Arial" w:hAnsi="Arial" w:cs="Arial"/>
                <w:sz w:val="22"/>
                <w:szCs w:val="22"/>
              </w:rPr>
              <w:t>D</w:t>
            </w:r>
            <w:r w:rsidR="0064300A" w:rsidRPr="00B777EC">
              <w:rPr>
                <w:rFonts w:ascii="Arial" w:hAnsi="Arial" w:cs="Arial"/>
                <w:sz w:val="22"/>
                <w:szCs w:val="22"/>
              </w:rPr>
              <w:softHyphen/>
            </w:r>
            <w:r w:rsidR="0064300A" w:rsidRPr="00B777EC">
              <w:rPr>
                <w:rFonts w:ascii="Arial" w:hAnsi="Arial" w:cs="Arial"/>
                <w:sz w:val="22"/>
                <w:szCs w:val="22"/>
              </w:rPr>
              <w:softHyphen/>
            </w:r>
            <w:r w:rsidR="0064300A" w:rsidRPr="00B777EC">
              <w:rPr>
                <w:rFonts w:ascii="Arial" w:hAnsi="Arial" w:cs="Arial"/>
                <w:sz w:val="22"/>
                <w:szCs w:val="22"/>
              </w:rPr>
              <w:softHyphen/>
            </w:r>
            <w:r w:rsidR="0064300A" w:rsidRPr="00B777EC">
              <w:rPr>
                <w:rFonts w:ascii="Arial" w:hAnsi="Arial" w:cs="Arial"/>
                <w:sz w:val="22"/>
                <w:szCs w:val="22"/>
              </w:rPr>
              <w:softHyphen/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irector (Michael Berton, Ph.D.) and managed by </w:t>
            </w:r>
            <w:r w:rsidR="00351F3D">
              <w:rPr>
                <w:rFonts w:ascii="Arial" w:hAnsi="Arial" w:cs="Arial"/>
                <w:sz w:val="22"/>
                <w:szCs w:val="22"/>
              </w:rPr>
              <w:t>the Core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 Director (Yue Li, Ph.D.)</w:t>
            </w:r>
            <w:r w:rsidR="000A60AF">
              <w:rPr>
                <w:rFonts w:ascii="Arial" w:hAnsi="Arial" w:cs="Arial"/>
                <w:sz w:val="22"/>
                <w:szCs w:val="22"/>
              </w:rPr>
              <w:t>,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 who is assisted by </w:t>
            </w:r>
            <w:r w:rsidR="0093190C" w:rsidRPr="00B777EC">
              <w:rPr>
                <w:rFonts w:ascii="Arial" w:hAnsi="Arial" w:cs="Arial"/>
                <w:sz w:val="22"/>
                <w:szCs w:val="22"/>
              </w:rPr>
              <w:t>three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 full-time research core technologists. Access to the FCSR is available to all UT Health San Antonio investigators with priority given to NIH-funded investigators and Mays Cancer Center members.</w:t>
            </w:r>
            <w:r w:rsidR="009F4AE8" w:rsidRPr="00B777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4AE8" w:rsidRPr="00B777EC">
              <w:rPr>
                <w:rFonts w:ascii="Arial" w:eastAsia="Arial" w:hAnsi="Arial" w:cs="Arial"/>
                <w:sz w:val="22"/>
                <w:szCs w:val="22"/>
              </w:rPr>
              <w:t xml:space="preserve">The FCSR provides flow cytometry services to over 70 laboratories at UT Health SA, other local and regional university laboratories, and several commercial laboratories in San Antonio. </w:t>
            </w:r>
          </w:p>
          <w:p w14:paraId="0A6766E1" w14:textId="5B3D0499" w:rsidR="009F4AE8" w:rsidRPr="00B777EC" w:rsidRDefault="00335AE4" w:rsidP="009F4AE8">
            <w:pPr>
              <w:snapToGrid w:val="0"/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7EC">
              <w:rPr>
                <w:rFonts w:ascii="Arial" w:hAnsi="Arial" w:cs="Arial"/>
                <w:sz w:val="22"/>
                <w:szCs w:val="22"/>
              </w:rPr>
              <w:t xml:space="preserve">The main campus FCSR facility includes two negative pressure cell sorter rooms </w:t>
            </w:r>
            <w:r w:rsidR="00557FD0">
              <w:rPr>
                <w:rFonts w:ascii="Arial" w:hAnsi="Arial" w:cs="Arial"/>
                <w:sz w:val="22"/>
                <w:szCs w:val="22"/>
              </w:rPr>
              <w:t>certified</w:t>
            </w:r>
            <w:r w:rsidR="00557FD0" w:rsidRPr="00B777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300A" w:rsidRPr="00B777EC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Pr="00B777EC">
              <w:rPr>
                <w:rFonts w:ascii="Arial" w:hAnsi="Arial" w:cs="Arial"/>
                <w:sz w:val="22"/>
                <w:szCs w:val="22"/>
              </w:rPr>
              <w:t>BSL-2</w:t>
            </w:r>
            <w:r w:rsidR="00DF004E" w:rsidRPr="00B777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0B93">
              <w:rPr>
                <w:rFonts w:ascii="Arial" w:hAnsi="Arial" w:cs="Arial"/>
                <w:sz w:val="22"/>
                <w:szCs w:val="22"/>
              </w:rPr>
              <w:t>b</w:t>
            </w:r>
            <w:r w:rsidR="00557FD0">
              <w:rPr>
                <w:rFonts w:ascii="Arial" w:hAnsi="Arial" w:cs="Arial"/>
                <w:sz w:val="22"/>
                <w:szCs w:val="22"/>
              </w:rPr>
              <w:t xml:space="preserve">iosafety </w:t>
            </w:r>
            <w:r w:rsidR="00DF004E" w:rsidRPr="00B777EC">
              <w:rPr>
                <w:rFonts w:ascii="Arial" w:hAnsi="Arial" w:cs="Arial"/>
                <w:sz w:val="22"/>
                <w:szCs w:val="22"/>
              </w:rPr>
              <w:t xml:space="preserve">level </w:t>
            </w:r>
            <w:r w:rsidR="00603923" w:rsidRPr="00B777EC">
              <w:rPr>
                <w:rFonts w:ascii="Arial" w:hAnsi="Arial" w:cs="Arial"/>
                <w:sz w:val="22"/>
                <w:szCs w:val="22"/>
              </w:rPr>
              <w:t>with enhanced precautions</w:t>
            </w:r>
            <w:r w:rsidR="00557FD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4300A" w:rsidRPr="00B777E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This allows the core to analyze and sort all NIH/CDC designated biosafety level 2 agents which include primary human cells and cell lines, all transfected cell lines, and live cells containing known level-2 pathogens. </w:t>
            </w:r>
            <w:r w:rsidR="00603923" w:rsidRPr="00B777E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All core personnel are trained in proper BSL-2 safety</w:t>
            </w:r>
            <w:r w:rsidR="00DF004E" w:rsidRPr="00B777E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procedures</w:t>
            </w:r>
            <w:r w:rsidR="00603923" w:rsidRPr="00B777E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. </w:t>
            </w:r>
            <w:r w:rsidR="0064300A" w:rsidRPr="00B777E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This includes handling</w:t>
            </w:r>
            <w:r w:rsidR="00557FD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of</w:t>
            </w:r>
            <w:r w:rsidR="0064300A" w:rsidRPr="00B777E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samples, proper personal protective equipment (PPE), </w:t>
            </w:r>
            <w:r w:rsidR="000A0B93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and </w:t>
            </w:r>
            <w:r w:rsidR="0064300A" w:rsidRPr="00B777E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transportation and </w:t>
            </w:r>
            <w:r w:rsidR="000A0B93" w:rsidRPr="00B777E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dispos</w:t>
            </w:r>
            <w:r w:rsidR="000A0B93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al</w:t>
            </w:r>
            <w:r w:rsidR="000A0B93" w:rsidRPr="00B777E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64300A" w:rsidRPr="00B777E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of specimens. </w:t>
            </w:r>
            <w:r w:rsidR="00557FD0">
              <w:rPr>
                <w:rFonts w:ascii="Arial" w:hAnsi="Arial" w:cs="Arial"/>
                <w:sz w:val="22"/>
                <w:szCs w:val="22"/>
              </w:rPr>
              <w:t>In addition,</w:t>
            </w:r>
            <w:r w:rsidR="0064300A" w:rsidRPr="00B777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7FD0">
              <w:rPr>
                <w:rFonts w:ascii="Arial" w:hAnsi="Arial" w:cs="Arial"/>
                <w:sz w:val="22"/>
                <w:szCs w:val="22"/>
              </w:rPr>
              <w:t>the main</w:t>
            </w:r>
            <w:r w:rsidR="00557FD0" w:rsidRPr="00B777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300A" w:rsidRPr="00B777EC">
              <w:rPr>
                <w:rFonts w:ascii="Arial" w:hAnsi="Arial" w:cs="Arial"/>
                <w:sz w:val="22"/>
                <w:szCs w:val="22"/>
              </w:rPr>
              <w:t xml:space="preserve">facility includes 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a large wet lab space housing </w:t>
            </w:r>
            <w:r w:rsidR="00557FD0">
              <w:rPr>
                <w:rFonts w:ascii="Arial" w:hAnsi="Arial" w:cs="Arial"/>
                <w:sz w:val="22"/>
                <w:szCs w:val="22"/>
              </w:rPr>
              <w:t>three cell analyzers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557FD0">
              <w:rPr>
                <w:rFonts w:ascii="Arial" w:hAnsi="Arial" w:cs="Arial"/>
                <w:sz w:val="22"/>
                <w:szCs w:val="22"/>
              </w:rPr>
              <w:t xml:space="preserve">two </w:t>
            </w:r>
            <w:r w:rsidRPr="00B777EC">
              <w:rPr>
                <w:rFonts w:ascii="Arial" w:hAnsi="Arial" w:cs="Arial"/>
                <w:sz w:val="22"/>
                <w:szCs w:val="22"/>
              </w:rPr>
              <w:t>comput</w:t>
            </w:r>
            <w:r w:rsidR="00EB12D9" w:rsidRPr="00B777EC">
              <w:rPr>
                <w:rFonts w:ascii="Arial" w:hAnsi="Arial" w:cs="Arial"/>
                <w:sz w:val="22"/>
                <w:szCs w:val="22"/>
              </w:rPr>
              <w:t>er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 stations</w:t>
            </w:r>
            <w:r w:rsidR="00EB12D9" w:rsidRPr="00B777EC">
              <w:rPr>
                <w:rFonts w:ascii="Arial" w:hAnsi="Arial" w:cs="Arial"/>
                <w:sz w:val="22"/>
                <w:szCs w:val="22"/>
              </w:rPr>
              <w:t xml:space="preserve"> for data analysis</w:t>
            </w:r>
            <w:r w:rsidRPr="00B777EC">
              <w:rPr>
                <w:rFonts w:ascii="Arial" w:hAnsi="Arial" w:cs="Arial"/>
                <w:sz w:val="22"/>
                <w:szCs w:val="22"/>
              </w:rPr>
              <w:t>. The STRF FCSR facility includes one negative pressure room for cell sorting and a separate wet lab space fo</w:t>
            </w:r>
            <w:r w:rsidR="00EB12D9" w:rsidRPr="00B777EC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="00557FD0">
              <w:rPr>
                <w:rFonts w:ascii="Arial" w:hAnsi="Arial" w:cs="Arial"/>
                <w:sz w:val="22"/>
                <w:szCs w:val="22"/>
              </w:rPr>
              <w:t>cell analysis</w:t>
            </w:r>
            <w:r w:rsidR="00EB12D9" w:rsidRPr="00B777EC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557FD0">
              <w:rPr>
                <w:rFonts w:ascii="Arial" w:hAnsi="Arial" w:cs="Arial"/>
                <w:sz w:val="22"/>
                <w:szCs w:val="22"/>
              </w:rPr>
              <w:t>data processing</w:t>
            </w:r>
            <w:r w:rsidR="00EB12D9" w:rsidRPr="00B777EC">
              <w:rPr>
                <w:rFonts w:ascii="Arial" w:hAnsi="Arial" w:cs="Arial"/>
                <w:sz w:val="22"/>
                <w:szCs w:val="22"/>
              </w:rPr>
              <w:t>.</w:t>
            </w:r>
            <w:r w:rsidR="00496A33" w:rsidRPr="00B777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12D9" w:rsidRPr="00B777EC">
              <w:rPr>
                <w:rFonts w:ascii="Arial" w:hAnsi="Arial" w:cs="Arial"/>
                <w:sz w:val="22"/>
                <w:szCs w:val="22"/>
              </w:rPr>
              <w:t xml:space="preserve">Both facilities </w:t>
            </w:r>
            <w:r w:rsidRPr="00B777EC">
              <w:rPr>
                <w:rFonts w:ascii="Arial" w:hAnsi="Arial" w:cs="Arial"/>
                <w:sz w:val="22"/>
                <w:szCs w:val="22"/>
              </w:rPr>
              <w:t>ha</w:t>
            </w:r>
            <w:r w:rsidR="00EB12D9" w:rsidRPr="00B777EC">
              <w:rPr>
                <w:rFonts w:ascii="Arial" w:hAnsi="Arial" w:cs="Arial"/>
                <w:sz w:val="22"/>
                <w:szCs w:val="22"/>
              </w:rPr>
              <w:t>ve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0E94">
              <w:rPr>
                <w:rFonts w:ascii="Arial" w:hAnsi="Arial" w:cs="Arial"/>
                <w:sz w:val="22"/>
                <w:szCs w:val="22"/>
              </w:rPr>
              <w:t xml:space="preserve">Class II Type A2 </w:t>
            </w:r>
            <w:r w:rsidR="00557FD0">
              <w:rPr>
                <w:rFonts w:ascii="Arial" w:hAnsi="Arial" w:cs="Arial"/>
                <w:sz w:val="22"/>
                <w:szCs w:val="22"/>
              </w:rPr>
              <w:t xml:space="preserve">biosafety </w:t>
            </w:r>
            <w:r w:rsidR="00E00E94">
              <w:rPr>
                <w:rFonts w:ascii="Arial" w:hAnsi="Arial" w:cs="Arial"/>
                <w:sz w:val="22"/>
                <w:szCs w:val="22"/>
              </w:rPr>
              <w:t>cabinet</w:t>
            </w:r>
            <w:r w:rsidR="000A0B93">
              <w:rPr>
                <w:rFonts w:ascii="Arial" w:hAnsi="Arial" w:cs="Arial"/>
                <w:sz w:val="22"/>
                <w:szCs w:val="22"/>
              </w:rPr>
              <w:t>s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0A0B93">
              <w:rPr>
                <w:rFonts w:ascii="Arial" w:hAnsi="Arial" w:cs="Arial"/>
                <w:sz w:val="22"/>
                <w:szCs w:val="22"/>
              </w:rPr>
              <w:t xml:space="preserve">safe cell sorting and </w:t>
            </w:r>
            <w:r w:rsidRPr="00B777EC">
              <w:rPr>
                <w:rFonts w:ascii="Arial" w:hAnsi="Arial" w:cs="Arial"/>
                <w:sz w:val="22"/>
                <w:szCs w:val="22"/>
              </w:rPr>
              <w:t>sample handling. Scheduling of instruments, training, and billing are performed through iL</w:t>
            </w:r>
            <w:r w:rsidR="00557FD0">
              <w:rPr>
                <w:rFonts w:ascii="Arial" w:hAnsi="Arial" w:cs="Arial"/>
                <w:sz w:val="22"/>
                <w:szCs w:val="22"/>
              </w:rPr>
              <w:t>ab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, a campus-wide core </w:t>
            </w:r>
            <w:r w:rsidR="00557FD0">
              <w:rPr>
                <w:rFonts w:ascii="Arial" w:hAnsi="Arial" w:cs="Arial"/>
                <w:sz w:val="22"/>
                <w:szCs w:val="22"/>
              </w:rPr>
              <w:t>operations</w:t>
            </w:r>
            <w:r w:rsidR="00557FD0" w:rsidRPr="00B777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77EC">
              <w:rPr>
                <w:rFonts w:ascii="Arial" w:hAnsi="Arial" w:cs="Arial"/>
                <w:sz w:val="22"/>
                <w:szCs w:val="22"/>
              </w:rPr>
              <w:t>software</w:t>
            </w:r>
            <w:r w:rsidR="000A0B93">
              <w:rPr>
                <w:rFonts w:ascii="Arial" w:hAnsi="Arial" w:cs="Arial"/>
                <w:sz w:val="22"/>
                <w:szCs w:val="22"/>
              </w:rPr>
              <w:t xml:space="preserve"> (Agilent Technologies, Inc)</w:t>
            </w:r>
            <w:r w:rsidRPr="00B777E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D96FA8" w14:textId="440AB9FC" w:rsidR="00335AE4" w:rsidRPr="00B777EC" w:rsidRDefault="00335AE4" w:rsidP="009F4AE8">
            <w:pPr>
              <w:snapToGrid w:val="0"/>
              <w:spacing w:before="100" w:beforeAutospacing="1" w:after="100" w:afterAutospacing="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62668">
              <w:rPr>
                <w:rFonts w:ascii="Arial" w:hAnsi="Arial" w:cs="Arial"/>
                <w:sz w:val="22"/>
                <w:szCs w:val="22"/>
              </w:rPr>
              <w:t xml:space="preserve">Cell analysis can be performed on </w:t>
            </w:r>
            <w:r w:rsidR="00557FD0" w:rsidRPr="00162668">
              <w:rPr>
                <w:rFonts w:ascii="Arial" w:hAnsi="Arial" w:cs="Arial"/>
                <w:sz w:val="22"/>
                <w:szCs w:val="22"/>
              </w:rPr>
              <w:t xml:space="preserve">four </w:t>
            </w:r>
            <w:r w:rsidRPr="00162668">
              <w:rPr>
                <w:rFonts w:ascii="Arial" w:hAnsi="Arial" w:cs="Arial"/>
                <w:sz w:val="22"/>
                <w:szCs w:val="22"/>
              </w:rPr>
              <w:t>analyzers: a 5</w:t>
            </w:r>
            <w:r w:rsidR="00557FD0" w:rsidRPr="00162668">
              <w:rPr>
                <w:rFonts w:ascii="Arial" w:hAnsi="Arial" w:cs="Arial"/>
                <w:sz w:val="22"/>
                <w:szCs w:val="22"/>
              </w:rPr>
              <w:t>-</w:t>
            </w:r>
            <w:r w:rsidRPr="00162668">
              <w:rPr>
                <w:rFonts w:ascii="Arial" w:hAnsi="Arial" w:cs="Arial"/>
                <w:sz w:val="22"/>
                <w:szCs w:val="22"/>
              </w:rPr>
              <w:t>laser Cytek Aurora (355nm, 405nm, 488nm, 561 nm, &amp; 6</w:t>
            </w:r>
            <w:r w:rsidR="00557FD0" w:rsidRPr="00162668">
              <w:rPr>
                <w:rFonts w:ascii="Arial" w:hAnsi="Arial" w:cs="Arial"/>
                <w:sz w:val="22"/>
                <w:szCs w:val="22"/>
              </w:rPr>
              <w:t>40</w:t>
            </w:r>
            <w:r w:rsidRPr="00162668">
              <w:rPr>
                <w:rFonts w:ascii="Arial" w:hAnsi="Arial" w:cs="Arial"/>
                <w:sz w:val="22"/>
                <w:szCs w:val="22"/>
              </w:rPr>
              <w:t xml:space="preserve">nm) </w:t>
            </w:r>
            <w:r w:rsidR="00557FD0" w:rsidRPr="00162668">
              <w:rPr>
                <w:rFonts w:ascii="Arial" w:hAnsi="Arial" w:cs="Arial"/>
                <w:sz w:val="22"/>
                <w:szCs w:val="22"/>
              </w:rPr>
              <w:t>with 64</w:t>
            </w:r>
            <w:r w:rsidRPr="00162668">
              <w:rPr>
                <w:rFonts w:ascii="Arial" w:hAnsi="Arial" w:cs="Arial"/>
                <w:sz w:val="22"/>
                <w:szCs w:val="22"/>
              </w:rPr>
              <w:t xml:space="preserve"> fluorescen</w:t>
            </w:r>
            <w:r w:rsidR="00557FD0" w:rsidRPr="00162668">
              <w:rPr>
                <w:rFonts w:ascii="Arial" w:hAnsi="Arial" w:cs="Arial"/>
                <w:sz w:val="22"/>
                <w:szCs w:val="22"/>
              </w:rPr>
              <w:t>ce detection</w:t>
            </w:r>
            <w:r w:rsidRPr="00162668">
              <w:rPr>
                <w:rFonts w:ascii="Arial" w:hAnsi="Arial" w:cs="Arial"/>
                <w:sz w:val="22"/>
                <w:szCs w:val="22"/>
              </w:rPr>
              <w:t xml:space="preserve"> channels </w:t>
            </w:r>
            <w:r w:rsidR="000A0B93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0A60AF">
              <w:rPr>
                <w:rFonts w:ascii="Arial" w:hAnsi="Arial" w:cs="Arial"/>
                <w:sz w:val="22"/>
                <w:szCs w:val="22"/>
              </w:rPr>
              <w:t>cover</w:t>
            </w:r>
            <w:r w:rsidR="00602C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31A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02C3D">
              <w:rPr>
                <w:rFonts w:ascii="Arial" w:hAnsi="Arial" w:cs="Arial"/>
                <w:sz w:val="22"/>
                <w:szCs w:val="22"/>
              </w:rPr>
              <w:t xml:space="preserve">emission </w:t>
            </w:r>
            <w:r w:rsidR="000A60AF">
              <w:rPr>
                <w:rFonts w:ascii="Arial" w:hAnsi="Arial" w:cs="Arial"/>
                <w:sz w:val="22"/>
                <w:szCs w:val="22"/>
              </w:rPr>
              <w:t>spectrum from 365nm to 829nm</w:t>
            </w:r>
            <w:r w:rsidRPr="0016266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B12D9" w:rsidRPr="00162668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EB12D9" w:rsidRPr="00B777EC">
              <w:rPr>
                <w:rFonts w:ascii="Arial" w:hAnsi="Arial" w:cs="Arial"/>
                <w:sz w:val="22"/>
                <w:szCs w:val="22"/>
              </w:rPr>
              <w:t>5-laser BD FACSymphony A5 SE (</w:t>
            </w:r>
            <w:r w:rsidR="00EB12D9" w:rsidRPr="00B777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355nm, 405nm, 488nm, 561nm, &amp; 637nm) </w:t>
            </w:r>
            <w:r w:rsidR="00557FD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with</w:t>
            </w:r>
            <w:r w:rsidR="00EB12D9" w:rsidRPr="00B777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496A33" w:rsidRPr="00B777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48</w:t>
            </w:r>
            <w:r w:rsidR="00EB12D9" w:rsidRPr="00B777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fluorescen</w:t>
            </w:r>
            <w:r w:rsidR="00557FD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ce detection</w:t>
            </w:r>
            <w:r w:rsidR="00EB12D9" w:rsidRPr="00B777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channels</w:t>
            </w:r>
            <w:r w:rsidR="00557FD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spanning </w:t>
            </w:r>
            <w:r w:rsidR="00CA3E1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the </w:t>
            </w:r>
            <w:r w:rsidR="000A60A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emission </w:t>
            </w:r>
            <w:r w:rsidR="00557FD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spectrum</w:t>
            </w:r>
            <w:r w:rsidR="000A60A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from 362nm to 880nm</w:t>
            </w:r>
            <w:r w:rsidR="00EB12D9" w:rsidRPr="00B777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</w:t>
            </w:r>
            <w:r w:rsidRPr="00B777EC">
              <w:rPr>
                <w:rFonts w:ascii="Arial" w:hAnsi="Arial" w:cs="Arial"/>
                <w:sz w:val="22"/>
                <w:szCs w:val="22"/>
              </w:rPr>
              <w:t>a BD LSRII equipped with 4 lasers (405nm, 488nm, 561 nm, &amp; 6</w:t>
            </w:r>
            <w:r w:rsidR="00557FD0">
              <w:rPr>
                <w:rFonts w:ascii="Arial" w:hAnsi="Arial" w:cs="Arial"/>
                <w:sz w:val="22"/>
                <w:szCs w:val="22"/>
              </w:rPr>
              <w:t>40</w:t>
            </w:r>
            <w:r w:rsidRPr="00B777EC">
              <w:rPr>
                <w:rFonts w:ascii="Arial" w:hAnsi="Arial" w:cs="Arial"/>
                <w:sz w:val="22"/>
                <w:szCs w:val="22"/>
              </w:rPr>
              <w:t>nm) capable of analysis of up to 11 colors</w:t>
            </w:r>
            <w:r w:rsidR="00557FD0">
              <w:rPr>
                <w:rFonts w:ascii="Arial" w:hAnsi="Arial" w:cs="Arial"/>
                <w:sz w:val="22"/>
                <w:szCs w:val="22"/>
              </w:rPr>
              <w:t xml:space="preserve">, and a BD </w:t>
            </w:r>
            <w:proofErr w:type="spellStart"/>
            <w:r w:rsidR="00557FD0">
              <w:rPr>
                <w:rFonts w:ascii="Arial" w:hAnsi="Arial" w:cs="Arial"/>
                <w:sz w:val="22"/>
                <w:szCs w:val="22"/>
              </w:rPr>
              <w:t>FACSCelesta</w:t>
            </w:r>
            <w:proofErr w:type="spellEnd"/>
            <w:r w:rsidR="00557F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7FD0" w:rsidRPr="00B777EC">
              <w:rPr>
                <w:rFonts w:ascii="Arial" w:hAnsi="Arial" w:cs="Arial"/>
                <w:sz w:val="22"/>
                <w:szCs w:val="22"/>
              </w:rPr>
              <w:t>equipped with 3 lasers (405nm, 488nm, &amp; 6</w:t>
            </w:r>
            <w:r w:rsidR="00557FD0">
              <w:rPr>
                <w:rFonts w:ascii="Arial" w:hAnsi="Arial" w:cs="Arial"/>
                <w:sz w:val="22"/>
                <w:szCs w:val="22"/>
              </w:rPr>
              <w:t>40</w:t>
            </w:r>
            <w:r w:rsidR="00557FD0" w:rsidRPr="00B777EC">
              <w:rPr>
                <w:rFonts w:ascii="Arial" w:hAnsi="Arial" w:cs="Arial"/>
                <w:sz w:val="22"/>
                <w:szCs w:val="22"/>
              </w:rPr>
              <w:t>nm) capable of analysis of up to 12 colors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57FD0">
              <w:rPr>
                <w:rFonts w:ascii="Arial" w:hAnsi="Arial" w:cs="Arial"/>
                <w:sz w:val="22"/>
                <w:szCs w:val="22"/>
              </w:rPr>
              <w:t>C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ell sorting </w:t>
            </w:r>
            <w:r w:rsidR="0054501C" w:rsidRPr="00B777EC">
              <w:rPr>
                <w:rFonts w:ascii="Arial" w:hAnsi="Arial" w:cs="Arial"/>
                <w:sz w:val="22"/>
                <w:szCs w:val="22"/>
              </w:rPr>
              <w:t>is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 performed on </w:t>
            </w:r>
            <w:r w:rsidR="00557FD0">
              <w:rPr>
                <w:rFonts w:ascii="Arial" w:hAnsi="Arial" w:cs="Arial"/>
                <w:sz w:val="22"/>
                <w:szCs w:val="22"/>
              </w:rPr>
              <w:t xml:space="preserve">any of the three sorters: </w:t>
            </w:r>
            <w:r w:rsidRPr="00B777EC">
              <w:rPr>
                <w:rFonts w:ascii="Arial" w:hAnsi="Arial" w:cs="Arial"/>
                <w:sz w:val="22"/>
                <w:szCs w:val="22"/>
              </w:rPr>
              <w:t>a BD FACS</w:t>
            </w:r>
            <w:r w:rsidR="00EB12D9" w:rsidRPr="00B777EC">
              <w:rPr>
                <w:rFonts w:ascii="Arial" w:hAnsi="Arial" w:cs="Arial"/>
                <w:sz w:val="22"/>
                <w:szCs w:val="22"/>
              </w:rPr>
              <w:t>Aria Fusion</w:t>
            </w:r>
            <w:r w:rsidRPr="00B777EC">
              <w:rPr>
                <w:rFonts w:ascii="Arial" w:hAnsi="Arial" w:cs="Arial"/>
                <w:sz w:val="22"/>
                <w:szCs w:val="22"/>
              </w:rPr>
              <w:t xml:space="preserve"> equipped with 5 lasers (</w:t>
            </w:r>
            <w:r w:rsidR="00EB12D9" w:rsidRPr="00B777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355nm, 405nm, 488nm, 561nm &amp; 633nm) </w:t>
            </w:r>
            <w:r w:rsidR="00557FD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capable of</w:t>
            </w:r>
            <w:r w:rsidR="00EB12D9" w:rsidRPr="00B777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detect</w:t>
            </w:r>
            <w:r w:rsidR="00557FD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ing</w:t>
            </w:r>
            <w:r w:rsidR="00EB12D9" w:rsidRPr="00B777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up to 18 fluorescence colors and </w:t>
            </w:r>
            <w:r w:rsidR="00557FD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can perform</w:t>
            </w:r>
            <w:r w:rsidR="00EB12D9" w:rsidRPr="00B777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4-way and single cell sorting</w:t>
            </w:r>
            <w:r w:rsidR="00557FD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a BD FACSymphony S6 SE</w:t>
            </w:r>
            <w:r w:rsidR="0016266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the </w:t>
            </w:r>
            <w:r w:rsidR="00557FD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configuration </w:t>
            </w:r>
            <w:r w:rsidR="0016266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of which </w:t>
            </w:r>
            <w:r w:rsidR="00557FD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matches BD FACSymphony A5 SE and is capable of 6-way and single-cell sorting, and a benchtop Beckman Coulter </w:t>
            </w:r>
            <w:proofErr w:type="spellStart"/>
            <w:r w:rsidR="00557FD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CytoFLEX</w:t>
            </w:r>
            <w:proofErr w:type="spellEnd"/>
            <w:r w:rsidR="00557FD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SRT which is equipped with 4 lasers (405nm, 488nm, 561nm, &amp; 633nm) capable of detecting up to 13 fluorescence channels. Both FACSAria Fusion and FACSymphony S6 SE are</w:t>
            </w:r>
            <w:r w:rsidR="0054501C" w:rsidRPr="00B777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EB12D9" w:rsidRPr="00B777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enclosed in </w:t>
            </w:r>
            <w:r w:rsidR="00E00E9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Class II Type A2 b</w:t>
            </w:r>
            <w:r w:rsidR="00EB12D9" w:rsidRPr="00B777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iosafety </w:t>
            </w:r>
            <w:r w:rsidR="00E00E9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cabinets</w:t>
            </w:r>
            <w:r w:rsidR="00E00E94" w:rsidRPr="00B777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EB12D9" w:rsidRPr="00B777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housed in a negative pressure room for BSL-2 containment.</w:t>
            </w:r>
            <w:r w:rsidR="0054501C" w:rsidRPr="00B777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EE25C9" w:rsidRPr="00B777E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Both labs are available 24/7 to trained users.</w:t>
            </w:r>
          </w:p>
          <w:p w14:paraId="0B731627" w14:textId="2DC97D7D" w:rsidR="00DF004E" w:rsidRPr="00B777EC" w:rsidRDefault="00DF004E" w:rsidP="009F4AE8">
            <w:pPr>
              <w:pStyle w:val="xmsonormal"/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The FCSR provides instrument-based services in </w:t>
            </w:r>
            <w:r w:rsidR="00206EA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three</w:t>
            </w:r>
            <w:r w:rsidR="00206EAE"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major categories:</w:t>
            </w:r>
          </w:p>
          <w:p w14:paraId="59259E8C" w14:textId="75DB9C01" w:rsidR="00DF004E" w:rsidRDefault="00DF004E" w:rsidP="009F4AE8">
            <w:pPr>
              <w:pStyle w:val="xmsonormal"/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B777EC">
              <w:rPr>
                <w:rFonts w:ascii="Arial" w:hAnsi="Arial" w:cs="Arial"/>
                <w:iCs/>
                <w:sz w:val="22"/>
                <w:szCs w:val="22"/>
                <w:bdr w:val="none" w:sz="0" w:space="0" w:color="auto" w:frame="1"/>
              </w:rPr>
              <w:t>A. Flow Cytometry Multiparameter Cell Sorting</w:t>
            </w: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 – </w:t>
            </w:r>
            <w:r w:rsidR="00206EA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Cells can be sorted</w:t>
            </w: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into microtiter plates or tubes. Applications include multiparameter sorting of subpopulations of cells (</w:t>
            </w:r>
            <w:proofErr w:type="gramStart"/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e.g.</w:t>
            </w:r>
            <w:proofErr w:type="gramEnd"/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tumor cells, cancer stem cells and </w:t>
            </w: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tumor-reactive lymphocytes), sorting of transgenic (knock-in or knock-out) cells marked by a fluorescent protein, and single cell sorting for clonal expansion or downstream genomic and/or transcriptomic analysis. </w:t>
            </w:r>
          </w:p>
          <w:p w14:paraId="788FC8AA" w14:textId="6A8DD801" w:rsidR="00206EAE" w:rsidRPr="00B777EC" w:rsidRDefault="00206EAE" w:rsidP="009F4AE8">
            <w:pPr>
              <w:pStyle w:val="xmsonormal"/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B. Flow Cytometry Multiparameter Cell Analysis – Applications include </w:t>
            </w:r>
            <w:r w:rsidR="00162668">
              <w:rPr>
                <w:rFonts w:ascii="Arial" w:hAnsi="Arial" w:cs="Arial"/>
                <w:sz w:val="22"/>
                <w:szCs w:val="22"/>
              </w:rPr>
              <w:t xml:space="preserve">DNA analysis, </w:t>
            </w:r>
            <w:r>
              <w:rPr>
                <w:rFonts w:ascii="Arial" w:hAnsi="Arial" w:cs="Arial"/>
                <w:sz w:val="22"/>
                <w:szCs w:val="22"/>
              </w:rPr>
              <w:t>cell cy</w:t>
            </w:r>
            <w:r w:rsidR="00CA3E1E">
              <w:rPr>
                <w:rFonts w:ascii="Arial" w:hAnsi="Arial" w:cs="Arial"/>
                <w:sz w:val="22"/>
                <w:szCs w:val="22"/>
              </w:rPr>
              <w:t>cle analysis</w:t>
            </w:r>
            <w:r>
              <w:rPr>
                <w:rFonts w:ascii="Arial" w:hAnsi="Arial" w:cs="Arial"/>
                <w:sz w:val="22"/>
                <w:szCs w:val="22"/>
              </w:rPr>
              <w:t xml:space="preserve">, apoptosis, </w:t>
            </w:r>
            <w:r w:rsidR="002201EA">
              <w:rPr>
                <w:rFonts w:ascii="Arial" w:hAnsi="Arial" w:cs="Arial"/>
                <w:sz w:val="22"/>
                <w:szCs w:val="22"/>
              </w:rPr>
              <w:t xml:space="preserve">high-parameter </w:t>
            </w:r>
            <w:r>
              <w:rPr>
                <w:rFonts w:ascii="Arial" w:hAnsi="Arial" w:cs="Arial"/>
                <w:sz w:val="22"/>
                <w:szCs w:val="22"/>
              </w:rPr>
              <w:t>cell phenotyping with cell surface and intracellular markers</w:t>
            </w:r>
            <w:r w:rsidR="00162668">
              <w:rPr>
                <w:rFonts w:ascii="Arial" w:hAnsi="Arial" w:cs="Arial"/>
                <w:sz w:val="22"/>
                <w:szCs w:val="22"/>
              </w:rPr>
              <w:t>,</w:t>
            </w: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reduced glutathione</w:t>
            </w:r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content and ROS </w:t>
            </w: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quantification, pH</w:t>
            </w:r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and</w:t>
            </w: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Ca++ flux</w:t>
            </w:r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measurement</w:t>
            </w:r>
            <w:r w:rsidR="002201EA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s</w:t>
            </w: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, </w:t>
            </w:r>
            <w:r w:rsidR="009C1658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measurement of </w:t>
            </w:r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mitochondria</w:t>
            </w:r>
            <w:r w:rsidR="00351F3D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l</w:t>
            </w:r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membrane </w:t>
            </w:r>
            <w:r w:rsidR="00351F3D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potential changes</w:t>
            </w:r>
            <w:r w:rsidR="002201EA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,</w:t>
            </w:r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and </w:t>
            </w:r>
            <w:r w:rsidR="002201EA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analysis of cytokine expression</w:t>
            </w:r>
            <w:r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.</w:t>
            </w:r>
          </w:p>
          <w:p w14:paraId="24C4D7EC" w14:textId="016808A5" w:rsidR="00DF004E" w:rsidRPr="00B777EC" w:rsidRDefault="00DF004E" w:rsidP="009F4AE8">
            <w:pPr>
              <w:pStyle w:val="xmsonormal"/>
              <w:adjustRightInd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7EC">
              <w:rPr>
                <w:rFonts w:ascii="Arial" w:hAnsi="Arial" w:cs="Arial"/>
                <w:iCs/>
                <w:sz w:val="22"/>
                <w:szCs w:val="22"/>
                <w:bdr w:val="none" w:sz="0" w:space="0" w:color="auto" w:frame="1"/>
              </w:rPr>
              <w:t>C.</w:t>
            </w: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 </w:t>
            </w:r>
            <w:r w:rsidRPr="00B777EC">
              <w:rPr>
                <w:rFonts w:ascii="Arial" w:hAnsi="Arial" w:cs="Arial"/>
                <w:iCs/>
                <w:sz w:val="22"/>
                <w:szCs w:val="22"/>
                <w:bdr w:val="none" w:sz="0" w:space="0" w:color="auto" w:frame="1"/>
              </w:rPr>
              <w:t>Training and Certification for self-user</w:t>
            </w:r>
            <w:r w:rsidR="00602C3D">
              <w:rPr>
                <w:rFonts w:ascii="Arial" w:hAnsi="Arial" w:cs="Arial"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777EC">
              <w:rPr>
                <w:rFonts w:ascii="Arial" w:hAnsi="Arial" w:cs="Arial"/>
                <w:iCs/>
                <w:sz w:val="22"/>
                <w:szCs w:val="22"/>
                <w:bdr w:val="none" w:sz="0" w:space="0" w:color="auto" w:frame="1"/>
              </w:rPr>
              <w:t>access</w:t>
            </w:r>
            <w:r w:rsidR="00602C3D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– The FCSR provides</w:t>
            </w:r>
            <w:r w:rsidR="00602C3D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training program</w:t>
            </w:r>
            <w:r w:rsidR="00206EA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s</w:t>
            </w: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 to users for 24/7 self-operation of flow cytometry analyzers as well as data analysis</w:t>
            </w:r>
            <w:r w:rsidR="00602C3D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211F33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using </w:t>
            </w:r>
            <w:r w:rsidR="000A60AF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software such as </w:t>
            </w:r>
            <w:proofErr w:type="gramStart"/>
            <w:r w:rsidR="000A60AF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BD’s </w:t>
            </w:r>
            <w:r w:rsidR="00602C3D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FlowJo</w:t>
            </w:r>
            <w:r w:rsidR="00602C3D" w:rsidRPr="000A60AF">
              <w:rPr>
                <w:rFonts w:ascii="Arial" w:hAnsi="Arial" w:cs="Arial"/>
                <w:sz w:val="22"/>
                <w:szCs w:val="22"/>
                <w:bdr w:val="none" w:sz="0" w:space="0" w:color="auto" w:frame="1"/>
                <w:vertAlign w:val="superscript"/>
              </w:rPr>
              <w:t>TM</w:t>
            </w:r>
            <w:proofErr w:type="spellEnd"/>
            <w:proofErr w:type="gramEnd"/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 and</w:t>
            </w:r>
            <w:r w:rsidR="00602C3D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602C3D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Dotmatics</w:t>
            </w:r>
            <w:proofErr w:type="spellEnd"/>
            <w:r w:rsidR="000A60AF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’ </w:t>
            </w: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OMIQ</w:t>
            </w:r>
            <w:r w:rsidR="000A60AF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to ensure high</w:t>
            </w:r>
            <w:r w:rsidR="000A60AF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-</w:t>
            </w: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fidelity, reproducibility, and high-quality data presentation and interpretation.</w:t>
            </w:r>
          </w:p>
          <w:p w14:paraId="2E9C3C65" w14:textId="7B66FD19" w:rsidR="00DF004E" w:rsidRDefault="00DF004E" w:rsidP="009F4AE8">
            <w:pPr>
              <w:pStyle w:val="xmsonormal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 w:frame="1"/>
              </w:rPr>
            </w:pPr>
            <w:r w:rsidRPr="00B777EC">
              <w:rPr>
                <w:rFonts w:ascii="Arial" w:hAnsi="Arial" w:cs="Arial"/>
                <w:iCs/>
                <w:sz w:val="22"/>
                <w:szCs w:val="22"/>
                <w:bdr w:val="none" w:sz="0" w:space="0" w:color="auto" w:frame="1"/>
              </w:rPr>
              <w:t>The FCSR also offers users non-instrument-based services, which include:</w:t>
            </w:r>
          </w:p>
          <w:p w14:paraId="7C9721A5" w14:textId="77777777" w:rsidR="00206EAE" w:rsidRPr="00B777EC" w:rsidRDefault="00206EAE" w:rsidP="009F4AE8">
            <w:pPr>
              <w:pStyle w:val="xmsonormal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C5C95B" w14:textId="44517A80" w:rsidR="00DF004E" w:rsidRPr="00B777EC" w:rsidRDefault="00DF004E" w:rsidP="009F4AE8">
            <w:pPr>
              <w:pStyle w:val="xmsonormal"/>
              <w:adjustRightInd w:val="0"/>
              <w:snapToGrid w:val="0"/>
              <w:spacing w:before="0" w:beforeAutospacing="0" w:after="0" w:afterAutospacing="0"/>
              <w:ind w:left="33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·   Consultation on experimental design and data analysis.</w:t>
            </w:r>
          </w:p>
          <w:p w14:paraId="50CA79A8" w14:textId="77777777" w:rsidR="00DF004E" w:rsidRPr="00B777EC" w:rsidRDefault="00DF004E" w:rsidP="009F4AE8">
            <w:pPr>
              <w:pStyle w:val="xmsonormal"/>
              <w:adjustRightInd w:val="0"/>
              <w:snapToGrid w:val="0"/>
              <w:spacing w:before="0" w:beforeAutospacing="0" w:after="0" w:afterAutospacing="0"/>
              <w:ind w:left="33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·   Preparation of figures, methodologies, and cost-projections for manuscripts and grant applications.</w:t>
            </w:r>
          </w:p>
          <w:p w14:paraId="02A9F475" w14:textId="77777777" w:rsidR="00DF004E" w:rsidRPr="00B777EC" w:rsidRDefault="00DF004E" w:rsidP="009F4AE8">
            <w:pPr>
              <w:pStyle w:val="xmsonormal"/>
              <w:adjustRightInd w:val="0"/>
              <w:snapToGrid w:val="0"/>
              <w:spacing w:before="0" w:beforeAutospacing="0" w:after="0" w:afterAutospacing="0"/>
              <w:ind w:left="33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·   Letters of support for grant applications.</w:t>
            </w:r>
          </w:p>
          <w:p w14:paraId="4D13D87D" w14:textId="3658E2E5" w:rsidR="00DF004E" w:rsidRPr="00B777EC" w:rsidRDefault="00DF004E" w:rsidP="009F4AE8">
            <w:pPr>
              <w:pStyle w:val="xmsonormal"/>
              <w:adjustRightInd w:val="0"/>
              <w:snapToGrid w:val="0"/>
              <w:spacing w:before="0" w:beforeAutospacing="0" w:after="0" w:afterAutospacing="0"/>
              <w:ind w:left="33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·   Access to iL</w:t>
            </w:r>
            <w:r w:rsidR="00206EA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ab</w:t>
            </w: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software for scheduling, fees, descriptions of instrumentation and policies, and SOPs.</w:t>
            </w:r>
          </w:p>
          <w:p w14:paraId="0D64FECB" w14:textId="71A3B9E5" w:rsidR="00DF004E" w:rsidRPr="00B777EC" w:rsidRDefault="00DF004E" w:rsidP="009F4AE8">
            <w:pPr>
              <w:pStyle w:val="xmsonormal"/>
              <w:adjustRightInd w:val="0"/>
              <w:snapToGrid w:val="0"/>
              <w:spacing w:before="0" w:beforeAutospacing="0" w:after="0" w:afterAutospacing="0"/>
              <w:ind w:left="33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·   </w:t>
            </w:r>
            <w:r w:rsidR="00206EAE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</w:t>
            </w:r>
            <w:r w:rsidRPr="00B777EC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raining in techniques, applications, software packages, and cytometry theory.</w:t>
            </w:r>
          </w:p>
          <w:p w14:paraId="3C6D2FE0" w14:textId="768F71E2" w:rsidR="006D0B78" w:rsidRPr="00B777EC" w:rsidRDefault="00DF004E" w:rsidP="009F4AE8">
            <w:pPr>
              <w:pStyle w:val="DataField11pt"/>
              <w:adjustRightInd w:val="0"/>
              <w:snapToGrid w:val="0"/>
              <w:spacing w:line="240" w:lineRule="auto"/>
              <w:ind w:left="335"/>
              <w:jc w:val="both"/>
              <w:rPr>
                <w:szCs w:val="22"/>
              </w:rPr>
            </w:pPr>
            <w:r w:rsidRPr="00B777EC">
              <w:rPr>
                <w:szCs w:val="22"/>
                <w:bdr w:val="none" w:sz="0" w:space="0" w:color="auto" w:frame="1"/>
              </w:rPr>
              <w:t>·   Lecture-based seminars for training in new technologies.</w:t>
            </w:r>
          </w:p>
          <w:p w14:paraId="6244F5F9" w14:textId="77777777" w:rsidR="006D0B78" w:rsidRPr="00B777EC" w:rsidRDefault="006D0B78" w:rsidP="009F4AE8">
            <w:pPr>
              <w:pStyle w:val="DataField11pt"/>
              <w:spacing w:line="240" w:lineRule="auto"/>
              <w:ind w:left="335"/>
              <w:jc w:val="both"/>
              <w:rPr>
                <w:szCs w:val="22"/>
              </w:rPr>
            </w:pPr>
          </w:p>
          <w:p w14:paraId="1DB9F65D" w14:textId="1C25F588" w:rsidR="00057277" w:rsidRPr="00B777EC" w:rsidRDefault="00057277" w:rsidP="00461747">
            <w:pPr>
              <w:shd w:val="clear" w:color="auto" w:fill="FFFFFF"/>
              <w:jc w:val="both"/>
              <w:textAlignment w:val="baseline"/>
              <w:rPr>
                <w:szCs w:val="22"/>
              </w:rPr>
            </w:pPr>
          </w:p>
        </w:tc>
      </w:tr>
    </w:tbl>
    <w:p w14:paraId="16158047" w14:textId="6E46CF96" w:rsidR="00853F4A" w:rsidRPr="00075458" w:rsidRDefault="0028494D" w:rsidP="00057277">
      <w:pPr>
        <w:pStyle w:val="FormFooter"/>
        <w:ind w:left="0"/>
        <w:rPr>
          <w:rStyle w:val="FormFooterFormNameChar"/>
        </w:rPr>
      </w:pPr>
      <w:r>
        <w:lastRenderedPageBreak/>
        <w:t xml:space="preserve">PHS 398 (Rev. </w:t>
      </w:r>
      <w:r w:rsidR="000A767C">
        <w:t>03/2020</w:t>
      </w:r>
      <w:r>
        <w:t xml:space="preserve"> Approv</w:t>
      </w:r>
      <w:r w:rsidR="00F1256A">
        <w:t xml:space="preserve">ed Through </w:t>
      </w:r>
      <w:r w:rsidR="000A767C">
        <w:t>02/28/2023</w:t>
      </w:r>
      <w:r w:rsidR="00F1256A">
        <w:t>)</w:t>
      </w:r>
      <w:r w:rsidR="00F1256A">
        <w:tab/>
      </w:r>
      <w:r w:rsidR="00F1256A">
        <w:tab/>
        <w:t xml:space="preserve">OMB No. </w:t>
      </w:r>
      <w:r>
        <w:t>0925-0001</w:t>
      </w:r>
      <w:r w:rsidR="00853F4A" w:rsidRPr="00EF6AD4">
        <w:rPr>
          <w:lang w:val="fr-FR"/>
        </w:rPr>
        <w:tab/>
      </w:r>
      <w:r w:rsidR="00853F4A" w:rsidRPr="002B40F3">
        <w:t>Page</w:t>
      </w:r>
      <w:r w:rsidR="00853F4A" w:rsidRPr="00EF6AD4">
        <w:rPr>
          <w:lang w:val="fr-FR"/>
        </w:rPr>
        <w:t xml:space="preserve"> </w:t>
      </w:r>
      <w:r w:rsidR="00853F4A">
        <w:rPr>
          <w:rStyle w:val="PageNumber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="00853F4A">
        <w:rPr>
          <w:rStyle w:val="PageNumber"/>
        </w:rPr>
        <w:instrText xml:space="preserve"> FORMTEXT </w:instrText>
      </w:r>
      <w:r w:rsidR="00853F4A">
        <w:rPr>
          <w:rStyle w:val="PageNumber"/>
        </w:rPr>
      </w:r>
      <w:r w:rsidR="00853F4A">
        <w:rPr>
          <w:rStyle w:val="PageNumber"/>
        </w:rPr>
        <w:fldChar w:fldCharType="separate"/>
      </w:r>
      <w:r w:rsidR="00853F4A">
        <w:rPr>
          <w:rStyle w:val="PageNumber"/>
          <w:noProof/>
        </w:rPr>
        <w:t> </w:t>
      </w:r>
      <w:r w:rsidR="00853F4A">
        <w:rPr>
          <w:rStyle w:val="PageNumber"/>
          <w:noProof/>
        </w:rPr>
        <w:t> </w:t>
      </w:r>
      <w:r w:rsidR="00853F4A">
        <w:rPr>
          <w:rStyle w:val="PageNumber"/>
          <w:noProof/>
        </w:rPr>
        <w:t> </w:t>
      </w:r>
      <w:r w:rsidR="00853F4A">
        <w:rPr>
          <w:rStyle w:val="PageNumber"/>
        </w:rPr>
        <w:fldChar w:fldCharType="end"/>
      </w:r>
      <w:r w:rsidR="00853F4A" w:rsidRPr="00EF6AD4">
        <w:rPr>
          <w:lang w:val="fr-FR"/>
        </w:rPr>
        <w:tab/>
      </w:r>
      <w:r w:rsidR="00853F4A" w:rsidRPr="00075458">
        <w:rPr>
          <w:rStyle w:val="FormFooterFormNameChar"/>
        </w:rPr>
        <w:t>Resources Format Page</w:t>
      </w:r>
    </w:p>
    <w:sectPr w:rsidR="00853F4A" w:rsidRPr="00075458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DCAF" w14:textId="77777777" w:rsidR="00744F86" w:rsidRDefault="00744F86">
      <w:r>
        <w:separator/>
      </w:r>
    </w:p>
  </w:endnote>
  <w:endnote w:type="continuationSeparator" w:id="0">
    <w:p w14:paraId="26EB4AF4" w14:textId="77777777" w:rsidR="00744F86" w:rsidRDefault="0074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863AA" w14:textId="77777777" w:rsidR="00744F86" w:rsidRDefault="00744F86">
      <w:r>
        <w:separator/>
      </w:r>
    </w:p>
  </w:footnote>
  <w:footnote w:type="continuationSeparator" w:id="0">
    <w:p w14:paraId="0AD403FA" w14:textId="77777777" w:rsidR="00744F86" w:rsidRDefault="0074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1071124746">
    <w:abstractNumId w:val="9"/>
  </w:num>
  <w:num w:numId="2" w16cid:durableId="777061670">
    <w:abstractNumId w:val="7"/>
  </w:num>
  <w:num w:numId="3" w16cid:durableId="39941125">
    <w:abstractNumId w:val="6"/>
  </w:num>
  <w:num w:numId="4" w16cid:durableId="1042634883">
    <w:abstractNumId w:val="5"/>
  </w:num>
  <w:num w:numId="5" w16cid:durableId="1624845323">
    <w:abstractNumId w:val="4"/>
  </w:num>
  <w:num w:numId="6" w16cid:durableId="1098596235">
    <w:abstractNumId w:val="8"/>
  </w:num>
  <w:num w:numId="7" w16cid:durableId="1191918495">
    <w:abstractNumId w:val="3"/>
  </w:num>
  <w:num w:numId="8" w16cid:durableId="1220824371">
    <w:abstractNumId w:val="2"/>
  </w:num>
  <w:num w:numId="9" w16cid:durableId="1251235085">
    <w:abstractNumId w:val="1"/>
  </w:num>
  <w:num w:numId="10" w16cid:durableId="1180395092">
    <w:abstractNumId w:val="0"/>
  </w:num>
  <w:num w:numId="11" w16cid:durableId="360329074">
    <w:abstractNumId w:val="4"/>
  </w:num>
  <w:num w:numId="12" w16cid:durableId="1634599503">
    <w:abstractNumId w:val="10"/>
  </w:num>
  <w:num w:numId="13" w16cid:durableId="1419322914">
    <w:abstractNumId w:val="11"/>
  </w:num>
  <w:num w:numId="14" w16cid:durableId="2069837969">
    <w:abstractNumId w:val="12"/>
  </w:num>
  <w:num w:numId="15" w16cid:durableId="1670172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16"/>
    <w:rsid w:val="0000416B"/>
    <w:rsid w:val="0001328B"/>
    <w:rsid w:val="00016224"/>
    <w:rsid w:val="000221B2"/>
    <w:rsid w:val="00057277"/>
    <w:rsid w:val="000631AA"/>
    <w:rsid w:val="00075458"/>
    <w:rsid w:val="00094EA2"/>
    <w:rsid w:val="000A04CB"/>
    <w:rsid w:val="000A0B93"/>
    <w:rsid w:val="000A2E3D"/>
    <w:rsid w:val="000A60AF"/>
    <w:rsid w:val="000A767C"/>
    <w:rsid w:val="000B39E4"/>
    <w:rsid w:val="00101F9C"/>
    <w:rsid w:val="0010348A"/>
    <w:rsid w:val="00117CAB"/>
    <w:rsid w:val="00162668"/>
    <w:rsid w:val="00183B24"/>
    <w:rsid w:val="001870A1"/>
    <w:rsid w:val="00187CFC"/>
    <w:rsid w:val="001B0203"/>
    <w:rsid w:val="001B5F43"/>
    <w:rsid w:val="001B65CD"/>
    <w:rsid w:val="001B691A"/>
    <w:rsid w:val="001C1033"/>
    <w:rsid w:val="001D5EF5"/>
    <w:rsid w:val="001E56BF"/>
    <w:rsid w:val="001F4DEF"/>
    <w:rsid w:val="00203A45"/>
    <w:rsid w:val="00206EAE"/>
    <w:rsid w:val="002079CB"/>
    <w:rsid w:val="00211D1C"/>
    <w:rsid w:val="00211F33"/>
    <w:rsid w:val="0021510A"/>
    <w:rsid w:val="002201E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F7AD6"/>
    <w:rsid w:val="00310192"/>
    <w:rsid w:val="00335AE4"/>
    <w:rsid w:val="00342827"/>
    <w:rsid w:val="00351F3D"/>
    <w:rsid w:val="00355D56"/>
    <w:rsid w:val="00387DE3"/>
    <w:rsid w:val="00390B17"/>
    <w:rsid w:val="003B5B9F"/>
    <w:rsid w:val="003C0FFB"/>
    <w:rsid w:val="003E1077"/>
    <w:rsid w:val="0040725C"/>
    <w:rsid w:val="004253E2"/>
    <w:rsid w:val="00432060"/>
    <w:rsid w:val="00461747"/>
    <w:rsid w:val="0049416D"/>
    <w:rsid w:val="00496A33"/>
    <w:rsid w:val="004976DA"/>
    <w:rsid w:val="004A7BAA"/>
    <w:rsid w:val="004B7CC7"/>
    <w:rsid w:val="004E4567"/>
    <w:rsid w:val="005029F4"/>
    <w:rsid w:val="00523DBA"/>
    <w:rsid w:val="0054501C"/>
    <w:rsid w:val="00557FD0"/>
    <w:rsid w:val="005A5FB9"/>
    <w:rsid w:val="005B6F1B"/>
    <w:rsid w:val="005D4306"/>
    <w:rsid w:val="005F49D7"/>
    <w:rsid w:val="00602C3D"/>
    <w:rsid w:val="00603923"/>
    <w:rsid w:val="00613252"/>
    <w:rsid w:val="00615DCD"/>
    <w:rsid w:val="00617F4D"/>
    <w:rsid w:val="00631BE6"/>
    <w:rsid w:val="00641643"/>
    <w:rsid w:val="00642D25"/>
    <w:rsid w:val="0064300A"/>
    <w:rsid w:val="0064435B"/>
    <w:rsid w:val="00645017"/>
    <w:rsid w:val="00672B92"/>
    <w:rsid w:val="00673D24"/>
    <w:rsid w:val="006A3BEE"/>
    <w:rsid w:val="006B22C6"/>
    <w:rsid w:val="006D0B78"/>
    <w:rsid w:val="006E0AC4"/>
    <w:rsid w:val="0071409A"/>
    <w:rsid w:val="00721712"/>
    <w:rsid w:val="00726B6F"/>
    <w:rsid w:val="00744F86"/>
    <w:rsid w:val="00764E13"/>
    <w:rsid w:val="007A4A04"/>
    <w:rsid w:val="007B44DC"/>
    <w:rsid w:val="007B6A38"/>
    <w:rsid w:val="007C1E3B"/>
    <w:rsid w:val="007C4546"/>
    <w:rsid w:val="007D07DE"/>
    <w:rsid w:val="007F2B4A"/>
    <w:rsid w:val="007F66C8"/>
    <w:rsid w:val="0080642E"/>
    <w:rsid w:val="0081125B"/>
    <w:rsid w:val="0082267A"/>
    <w:rsid w:val="00853F4A"/>
    <w:rsid w:val="008612C8"/>
    <w:rsid w:val="00867FA4"/>
    <w:rsid w:val="0087709C"/>
    <w:rsid w:val="00882175"/>
    <w:rsid w:val="00890A4D"/>
    <w:rsid w:val="008E2A5F"/>
    <w:rsid w:val="00917947"/>
    <w:rsid w:val="0093190C"/>
    <w:rsid w:val="00935548"/>
    <w:rsid w:val="00944D08"/>
    <w:rsid w:val="009559CB"/>
    <w:rsid w:val="00976560"/>
    <w:rsid w:val="00983A19"/>
    <w:rsid w:val="009B5CE0"/>
    <w:rsid w:val="009C1658"/>
    <w:rsid w:val="009F4AE8"/>
    <w:rsid w:val="009F7469"/>
    <w:rsid w:val="00A12438"/>
    <w:rsid w:val="00A14190"/>
    <w:rsid w:val="00A25ADB"/>
    <w:rsid w:val="00A3164E"/>
    <w:rsid w:val="00A3433D"/>
    <w:rsid w:val="00A40514"/>
    <w:rsid w:val="00A406B9"/>
    <w:rsid w:val="00A50B2A"/>
    <w:rsid w:val="00A57B46"/>
    <w:rsid w:val="00A85FC1"/>
    <w:rsid w:val="00A87D75"/>
    <w:rsid w:val="00AC2F9E"/>
    <w:rsid w:val="00AD0216"/>
    <w:rsid w:val="00AE31A1"/>
    <w:rsid w:val="00AF0523"/>
    <w:rsid w:val="00AF2DEE"/>
    <w:rsid w:val="00B13907"/>
    <w:rsid w:val="00B4764B"/>
    <w:rsid w:val="00B50AC4"/>
    <w:rsid w:val="00B57E48"/>
    <w:rsid w:val="00B777EC"/>
    <w:rsid w:val="00BE1499"/>
    <w:rsid w:val="00C02389"/>
    <w:rsid w:val="00C44582"/>
    <w:rsid w:val="00C71797"/>
    <w:rsid w:val="00C94867"/>
    <w:rsid w:val="00C95627"/>
    <w:rsid w:val="00CA3E1E"/>
    <w:rsid w:val="00CC218A"/>
    <w:rsid w:val="00CE400D"/>
    <w:rsid w:val="00D04325"/>
    <w:rsid w:val="00D3401A"/>
    <w:rsid w:val="00D43CEA"/>
    <w:rsid w:val="00D509BF"/>
    <w:rsid w:val="00D561A9"/>
    <w:rsid w:val="00D610E0"/>
    <w:rsid w:val="00DA553C"/>
    <w:rsid w:val="00DB3E58"/>
    <w:rsid w:val="00DB60CA"/>
    <w:rsid w:val="00DB70BD"/>
    <w:rsid w:val="00DC159B"/>
    <w:rsid w:val="00DC6DCE"/>
    <w:rsid w:val="00DD49F2"/>
    <w:rsid w:val="00DD76C8"/>
    <w:rsid w:val="00DF004E"/>
    <w:rsid w:val="00E00E94"/>
    <w:rsid w:val="00E352C5"/>
    <w:rsid w:val="00E55F4B"/>
    <w:rsid w:val="00E9567C"/>
    <w:rsid w:val="00EB12D9"/>
    <w:rsid w:val="00ED0C3C"/>
    <w:rsid w:val="00ED233C"/>
    <w:rsid w:val="00EE25C9"/>
    <w:rsid w:val="00EF046B"/>
    <w:rsid w:val="00F1256A"/>
    <w:rsid w:val="00F4356D"/>
    <w:rsid w:val="00F455BA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  <w:style w:type="character" w:customStyle="1" w:styleId="xxxxcontentpasted0">
    <w:name w:val="x_x_x_x_contentpasted0"/>
    <w:basedOn w:val="DefaultParagraphFont"/>
    <w:rsid w:val="006D0B78"/>
  </w:style>
  <w:style w:type="character" w:customStyle="1" w:styleId="apple-converted-space">
    <w:name w:val="apple-converted-space"/>
    <w:basedOn w:val="DefaultParagraphFont"/>
    <w:rsid w:val="006D0B78"/>
  </w:style>
  <w:style w:type="character" w:customStyle="1" w:styleId="mark8rqag1bfv">
    <w:name w:val="mark8rqag1bfv"/>
    <w:basedOn w:val="DefaultParagraphFont"/>
    <w:rsid w:val="006D0B78"/>
  </w:style>
  <w:style w:type="character" w:customStyle="1" w:styleId="xxxxxcontentpasted1">
    <w:name w:val="x_x_x_x_x_contentpasted1"/>
    <w:basedOn w:val="DefaultParagraphFont"/>
    <w:rsid w:val="006D0B78"/>
  </w:style>
  <w:style w:type="character" w:customStyle="1" w:styleId="xapple-converted-space">
    <w:name w:val="x_apple-converted-space"/>
    <w:basedOn w:val="DefaultParagraphFont"/>
    <w:rsid w:val="006D0B78"/>
  </w:style>
  <w:style w:type="character" w:customStyle="1" w:styleId="xxcontentpasted0">
    <w:name w:val="x_x_contentpasted0"/>
    <w:basedOn w:val="DefaultParagraphFont"/>
    <w:rsid w:val="006D0B78"/>
  </w:style>
  <w:style w:type="paragraph" w:customStyle="1" w:styleId="xmsonormal">
    <w:name w:val="x_msonormal"/>
    <w:basedOn w:val="Normal"/>
    <w:rsid w:val="00DF004E"/>
    <w:pPr>
      <w:autoSpaceDE/>
      <w:autoSpaceDN/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557FD0"/>
    <w:rPr>
      <w:rFonts w:ascii="Times" w:hAnsi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2.xml><?xml version="1.0" encoding="utf-8"?>
<ds:datastoreItem xmlns:ds="http://schemas.openxmlformats.org/officeDocument/2006/customXml" ds:itemID="{751A60BB-356E-4241-87CE-7F08B8DBE4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6255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Li, Yue</cp:lastModifiedBy>
  <cp:revision>2</cp:revision>
  <cp:lastPrinted>2006-03-23T12:42:00Z</cp:lastPrinted>
  <dcterms:created xsi:type="dcterms:W3CDTF">2023-07-03T18:27:00Z</dcterms:created>
  <dcterms:modified xsi:type="dcterms:W3CDTF">2023-07-03T18:27:00Z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Form Set">
    <vt:lpwstr>PHS398</vt:lpwstr>
  </property>
  <property fmtid="{D5CDD505-2E9C-101B-9397-08002B2CF9AE}" pid="4" name="Test Comment">
    <vt:lpwstr>7/24/2013. Added new inclusion forms. 7/2/2013. Updated footer for enrollment forms to include both OMB numbers and both 398/2590. Replaced Planned Enrollment Report.</vt:lpwstr>
  </property>
</Properties>
</file>