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D888" w14:textId="77777777" w:rsidR="00B66D47" w:rsidRDefault="00B66D47" w:rsidP="00B66D47">
      <w:pPr>
        <w:pStyle w:val="NoSpacing"/>
        <w:spacing w:after="1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Bioanalytics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and Single-Cell Core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BASiC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Located in the STRF,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provides services to the research community at the NCI-designated Cancer Center and is directed by Dr. Kirma (PI). The four objectives of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are to provide: 1)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clinical sample processing for single-cell isolation and banking;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2) high-throughput platforms for single-cell identification and characterization; 3) robust single-cell based informatics and statistical analyses for data integration and interpretation; and 4) outreach and pilot project programs to enhance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user base, seed collaborations and support early-stage investigators. Current single-cell isolation platforms include three combined immunofluorescence-micromanipulator workstations and the C1 single-cell capture and processing station, capable of automated single-cell cDNA preparation for expression PCR and RNA-seq. For single-cell PCR expression analysis, the C1 single-cell auto prep system (formerly </w:t>
      </w:r>
      <w:proofErr w:type="spellStart"/>
      <w:r>
        <w:rPr>
          <w:rFonts w:ascii="Arial" w:hAnsi="Arial" w:cs="Arial"/>
          <w:sz w:val="22"/>
          <w:szCs w:val="22"/>
        </w:rPr>
        <w:t>Fluidigm</w:t>
      </w:r>
      <w:proofErr w:type="spellEnd"/>
      <w:r>
        <w:rPr>
          <w:rFonts w:ascii="Arial" w:hAnsi="Arial" w:cs="Arial"/>
          <w:sz w:val="22"/>
          <w:szCs w:val="22"/>
        </w:rPr>
        <w:t xml:space="preserve">, now Standard </w:t>
      </w:r>
      <w:proofErr w:type="spellStart"/>
      <w:r>
        <w:rPr>
          <w:rFonts w:ascii="Arial" w:hAnsi="Arial" w:cs="Arial"/>
          <w:sz w:val="22"/>
          <w:szCs w:val="22"/>
        </w:rPr>
        <w:t>Biotools</w:t>
      </w:r>
      <w:proofErr w:type="spellEnd"/>
      <w:r>
        <w:rPr>
          <w:rFonts w:ascii="Arial" w:hAnsi="Arial" w:cs="Arial"/>
          <w:sz w:val="22"/>
          <w:szCs w:val="22"/>
        </w:rPr>
        <w:t xml:space="preserve">) and the </w:t>
      </w:r>
      <w:proofErr w:type="spellStart"/>
      <w:r>
        <w:rPr>
          <w:rFonts w:ascii="Arial" w:hAnsi="Arial" w:cs="Arial"/>
          <w:sz w:val="22"/>
          <w:szCs w:val="22"/>
        </w:rPr>
        <w:t>BioMark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Fluidigm</w:t>
      </w:r>
      <w:proofErr w:type="spellEnd"/>
      <w:r>
        <w:rPr>
          <w:rFonts w:ascii="Arial" w:hAnsi="Arial" w:cs="Arial"/>
          <w:sz w:val="22"/>
          <w:szCs w:val="22"/>
        </w:rPr>
        <w:t xml:space="preserve">) high-throughput microfluidic chip system are available for running 48x48 (2,304 PCR data points in one chip) and 96x96 (9,216 PCR data points), among other types of microfluidic PCR chips. The </w:t>
      </w:r>
      <w:proofErr w:type="spellStart"/>
      <w:r>
        <w:rPr>
          <w:rFonts w:ascii="Arial" w:hAnsi="Arial" w:cs="Arial"/>
          <w:sz w:val="22"/>
          <w:szCs w:val="22"/>
        </w:rPr>
        <w:t>Visium</w:t>
      </w:r>
      <w:proofErr w:type="spellEnd"/>
      <w:r>
        <w:rPr>
          <w:rFonts w:ascii="Arial" w:hAnsi="Arial" w:cs="Arial"/>
          <w:sz w:val="22"/>
          <w:szCs w:val="22"/>
        </w:rPr>
        <w:t xml:space="preserve"> spatial transcriptomic profiling system (10X Genomics) has been established at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for integration of spatial imaging of tissue sections and RNA-seq (in collaboration with the Next-Generation Sequencing Core). Atomic force microscopy (AFM) is also at hand for examining nanomechanical features of individual cells (e.g., cell elasticity, adhesiveness, and deformability) and </w:t>
      </w:r>
      <w:proofErr w:type="spellStart"/>
      <w:r>
        <w:rPr>
          <w:rFonts w:ascii="Arial" w:hAnsi="Arial" w:cs="Arial"/>
          <w:sz w:val="22"/>
          <w:szCs w:val="22"/>
        </w:rPr>
        <w:t>chemobiologic</w:t>
      </w:r>
      <w:proofErr w:type="spellEnd"/>
      <w:r>
        <w:rPr>
          <w:rFonts w:ascii="Arial" w:hAnsi="Arial" w:cs="Arial"/>
          <w:sz w:val="22"/>
          <w:szCs w:val="22"/>
        </w:rPr>
        <w:t xml:space="preserve"> detection/distribution of cell surface markers. The </w:t>
      </w:r>
      <w:proofErr w:type="spellStart"/>
      <w:r>
        <w:rPr>
          <w:rFonts w:ascii="Arial" w:hAnsi="Arial" w:cs="Arial"/>
          <w:sz w:val="22"/>
          <w:szCs w:val="22"/>
        </w:rPr>
        <w:t>BASiC</w:t>
      </w:r>
      <w:proofErr w:type="spellEnd"/>
      <w:r>
        <w:rPr>
          <w:rFonts w:ascii="Arial" w:hAnsi="Arial" w:cs="Arial"/>
          <w:sz w:val="22"/>
          <w:szCs w:val="22"/>
        </w:rPr>
        <w:t xml:space="preserve"> core also incorporates the Helios </w:t>
      </w:r>
      <w:proofErr w:type="spellStart"/>
      <w:r>
        <w:rPr>
          <w:rFonts w:ascii="Arial" w:hAnsi="Arial" w:cs="Arial"/>
          <w:sz w:val="22"/>
          <w:szCs w:val="22"/>
        </w:rPr>
        <w:t>CyTOF</w:t>
      </w:r>
      <w:proofErr w:type="spellEnd"/>
      <w:r>
        <w:rPr>
          <w:rFonts w:ascii="Arial" w:hAnsi="Arial" w:cs="Arial"/>
          <w:sz w:val="22"/>
          <w:szCs w:val="22"/>
        </w:rPr>
        <w:t xml:space="preserve"> platform for single-cell proteomics. The core has a wide range of </w:t>
      </w:r>
      <w:proofErr w:type="spellStart"/>
      <w:r>
        <w:rPr>
          <w:rFonts w:ascii="Arial" w:hAnsi="Arial" w:cs="Arial"/>
          <w:sz w:val="22"/>
          <w:szCs w:val="22"/>
        </w:rPr>
        <w:t>CyTOF</w:t>
      </w:r>
      <w:proofErr w:type="spellEnd"/>
      <w:r>
        <w:rPr>
          <w:rFonts w:ascii="Arial" w:hAnsi="Arial" w:cs="Arial"/>
          <w:sz w:val="22"/>
          <w:szCs w:val="22"/>
        </w:rPr>
        <w:t xml:space="preserve">-validated metal-conjugated antibody panels as well as the capacity to generate custom metal-conjugated antibody panels. Additional instrumentation </w:t>
      </w:r>
      <w:proofErr w:type="gramStart"/>
      <w:r>
        <w:rPr>
          <w:rFonts w:ascii="Arial" w:hAnsi="Arial" w:cs="Arial"/>
          <w:sz w:val="22"/>
          <w:szCs w:val="22"/>
        </w:rPr>
        <w:t>include</w:t>
      </w:r>
      <w:proofErr w:type="gramEnd"/>
      <w:r>
        <w:rPr>
          <w:rFonts w:ascii="Arial" w:hAnsi="Arial" w:cs="Arial"/>
          <w:sz w:val="22"/>
          <w:szCs w:val="22"/>
        </w:rPr>
        <w:t xml:space="preserve"> the FlexMAp Luminex multiplexing system, capillary automated Western Blot system, and the </w:t>
      </w:r>
      <w:proofErr w:type="spellStart"/>
      <w:r>
        <w:rPr>
          <w:rFonts w:ascii="Arial" w:hAnsi="Arial" w:cs="Arial"/>
          <w:sz w:val="22"/>
          <w:szCs w:val="22"/>
        </w:rPr>
        <w:t>Disgenode</w:t>
      </w:r>
      <w:proofErr w:type="spellEnd"/>
      <w:r>
        <w:rPr>
          <w:rFonts w:ascii="Arial" w:hAnsi="Arial" w:cs="Arial"/>
          <w:sz w:val="22"/>
          <w:szCs w:val="22"/>
        </w:rPr>
        <w:t xml:space="preserve"> SX-8G IP-Star robotic for automated </w:t>
      </w:r>
      <w:proofErr w:type="spellStart"/>
      <w:r>
        <w:rPr>
          <w:rFonts w:ascii="Arial" w:hAnsi="Arial" w:cs="Arial"/>
          <w:sz w:val="22"/>
          <w:szCs w:val="22"/>
        </w:rPr>
        <w:t>ChIP</w:t>
      </w:r>
      <w:proofErr w:type="spellEnd"/>
      <w:r>
        <w:rPr>
          <w:rFonts w:ascii="Arial" w:hAnsi="Arial" w:cs="Arial"/>
          <w:sz w:val="22"/>
          <w:szCs w:val="22"/>
        </w:rPr>
        <w:t xml:space="preserve">-seq, </w:t>
      </w:r>
      <w:proofErr w:type="spellStart"/>
      <w:r>
        <w:rPr>
          <w:rFonts w:ascii="Arial" w:hAnsi="Arial" w:cs="Arial"/>
          <w:sz w:val="22"/>
          <w:szCs w:val="22"/>
        </w:rPr>
        <w:t>MBDCAp</w:t>
      </w:r>
      <w:proofErr w:type="spellEnd"/>
      <w:r>
        <w:rPr>
          <w:rFonts w:ascii="Arial" w:hAnsi="Arial" w:cs="Arial"/>
          <w:sz w:val="22"/>
          <w:szCs w:val="22"/>
        </w:rPr>
        <w:t xml:space="preserve">-seq and other sequencing library construction. The pyrosequencing unit, </w:t>
      </w:r>
      <w:proofErr w:type="spellStart"/>
      <w:r>
        <w:rPr>
          <w:rFonts w:ascii="Arial" w:hAnsi="Arial" w:cs="Arial"/>
          <w:sz w:val="22"/>
          <w:szCs w:val="22"/>
        </w:rPr>
        <w:t>PyroMark</w:t>
      </w:r>
      <w:proofErr w:type="spellEnd"/>
      <w:r>
        <w:rPr>
          <w:rFonts w:ascii="Arial" w:hAnsi="Arial" w:cs="Arial"/>
          <w:sz w:val="22"/>
          <w:szCs w:val="22"/>
        </w:rPr>
        <w:t xml:space="preserve"> Q48 (Qiagen), is also available for high-throughput genetic and epigenetic analyses of candidate genes. In-house bioinformaticians specialized in single-cell analysis are available to help with study design, data analysis, and generation of publication-ready figures.</w:t>
      </w:r>
    </w:p>
    <w:p w14:paraId="03F5BCD7" w14:textId="77777777" w:rsidR="00BB7750" w:rsidRDefault="00BB7750"/>
    <w:sectPr w:rsidR="00BB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47"/>
    <w:rsid w:val="00401BFA"/>
    <w:rsid w:val="00B66D47"/>
    <w:rsid w:val="00B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CD52"/>
  <w15:chartTrackingRefBased/>
  <w15:docId w15:val="{6A84D1D4-4BC6-4D9D-A3C0-C014D608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66D4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UT Health San Antonio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Mcgonigal, Mina</dc:creator>
  <cp:keywords/>
  <dc:description/>
  <cp:lastModifiedBy>Mcgonigal, Mina</cp:lastModifiedBy>
  <cp:revision>1</cp:revision>
  <dcterms:created xsi:type="dcterms:W3CDTF">2023-09-08T15:59:00Z</dcterms:created>
  <dcterms:modified xsi:type="dcterms:W3CDTF">2023-09-08T16:00:00Z</dcterms:modified>
</cp:coreProperties>
</file>